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2E3B20">
        <w:rPr>
          <w:rFonts w:ascii="Tahoma" w:hAnsi="Tahoma" w:cs="Tahoma"/>
          <w:b/>
        </w:rPr>
        <w:t>5</w:t>
      </w:r>
      <w:r w:rsidR="002A30BD">
        <w:rPr>
          <w:rFonts w:ascii="Tahoma" w:hAnsi="Tahoma" w:cs="Tahoma"/>
          <w:b/>
        </w:rPr>
        <w:t>/</w:t>
      </w:r>
      <w:r w:rsidR="002E3B20">
        <w:rPr>
          <w:rFonts w:ascii="Tahoma" w:hAnsi="Tahoma" w:cs="Tahoma"/>
          <w:b/>
        </w:rPr>
        <w:t>9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2E3B20">
        <w:rPr>
          <w:rFonts w:ascii="Tahoma" w:hAnsi="Tahoma" w:cs="Tahoma"/>
          <w:b/>
        </w:rPr>
        <w:t>5</w:t>
      </w:r>
      <w:r w:rsidR="00BE2AD2" w:rsidRPr="00BE2AD2">
        <w:rPr>
          <w:rFonts w:ascii="Tahoma" w:hAnsi="Tahoma" w:cs="Tahoma"/>
          <w:b/>
        </w:rPr>
        <w:t>/</w:t>
      </w:r>
      <w:r w:rsidR="002E3B20">
        <w:rPr>
          <w:rFonts w:ascii="Tahoma" w:hAnsi="Tahoma" w:cs="Tahoma"/>
          <w:b/>
        </w:rPr>
        <w:t>9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2E3B20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5C19EC">
              <w:rPr>
                <w:rFonts w:ascii="Tahoma" w:hAnsi="Tahoma" w:cs="Tahoma"/>
                <w:sz w:val="20"/>
                <w:szCs w:val="20"/>
              </w:rPr>
              <w:t xml:space="preserve">Лом и отходы </w:t>
            </w:r>
            <w:proofErr w:type="spellStart"/>
            <w:r w:rsidRPr="005C19EC">
              <w:rPr>
                <w:rFonts w:ascii="Tahoma" w:hAnsi="Tahoma" w:cs="Tahoma"/>
                <w:sz w:val="20"/>
                <w:szCs w:val="20"/>
              </w:rPr>
              <w:t>нерас</w:t>
            </w:r>
            <w:proofErr w:type="spellEnd"/>
            <w:r w:rsidRPr="005C19EC">
              <w:rPr>
                <w:rFonts w:ascii="Tahoma" w:hAnsi="Tahoma" w:cs="Tahoma"/>
                <w:sz w:val="20"/>
                <w:szCs w:val="20"/>
              </w:rPr>
              <w:t>. 32АБ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1000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2E3B20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8405AC">
              <w:rPr>
                <w:rFonts w:ascii="Tahoma" w:hAnsi="Tahoma" w:cs="Tahoma"/>
                <w:sz w:val="20"/>
                <w:szCs w:val="20"/>
              </w:rPr>
              <w:t>Амортизационный лом образован в результате демонтажа зданий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05AC">
              <w:rPr>
                <w:rFonts w:ascii="Tahoma" w:hAnsi="Tahoma" w:cs="Tahoma"/>
                <w:sz w:val="20"/>
                <w:szCs w:val="20"/>
              </w:rPr>
              <w:t>оборудования Плавильного цеха</w:t>
            </w:r>
            <w:r w:rsidRPr="008405AC">
              <w:rPr>
                <w:rFonts w:ascii="Tahoma" w:hAnsi="Tahoma" w:cs="Tahoma"/>
                <w:sz w:val="20"/>
                <w:szCs w:val="20"/>
                <w:lang w:eastAsia="ru-RU"/>
              </w:rPr>
              <w:t>.</w:t>
            </w:r>
            <w:r w:rsidRPr="008405AC">
              <w:rPr>
                <w:rFonts w:ascii="Tahoma" w:hAnsi="Tahoma" w:cs="Tahoma"/>
                <w:sz w:val="20"/>
                <w:szCs w:val="20"/>
              </w:rPr>
              <w:t xml:space="preserve"> Включает в себя </w:t>
            </w:r>
            <w:proofErr w:type="spellStart"/>
            <w:r w:rsidRPr="008405AC">
              <w:rPr>
                <w:rFonts w:ascii="Tahoma" w:hAnsi="Tahoma" w:cs="Tahoma"/>
                <w:sz w:val="20"/>
                <w:szCs w:val="20"/>
              </w:rPr>
              <w:t>профлист</w:t>
            </w:r>
            <w:proofErr w:type="spellEnd"/>
            <w:r w:rsidRPr="008405AC">
              <w:rPr>
                <w:rFonts w:ascii="Tahoma" w:hAnsi="Tahoma" w:cs="Tahoma"/>
                <w:sz w:val="20"/>
                <w:szCs w:val="20"/>
              </w:rPr>
              <w:t>, арматуру, проволоку, канаты, различные фрагменты оборудования и др. В местонахождении указанного лома может присутствовать металлолом других марок, который необходимо исключить из погрузки.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05AC">
              <w:rPr>
                <w:rFonts w:ascii="Tahoma" w:hAnsi="Tahoma" w:cs="Tahoma"/>
                <w:sz w:val="20"/>
                <w:szCs w:val="20"/>
              </w:rPr>
              <w:t>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2E3B20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r w:rsidR="00F65081">
              <w:rPr>
                <w:rFonts w:ascii="Tahoma" w:hAnsi="Tahoma" w:cs="Tahoma"/>
                <w:sz w:val="20"/>
              </w:rPr>
              <w:t>;</w:t>
            </w:r>
          </w:p>
          <w:p w:rsidR="00F65081" w:rsidRPr="00F65081" w:rsidRDefault="00F65081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3B20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0DB5B25C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107952-79F5-4863-8253-E8954DB7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2026-03-02T13:32:00Z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