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5B317F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5B317F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5B317F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5B317F">
        <w:rPr>
          <w:rFonts w:ascii="Tahoma" w:hAnsi="Tahoma" w:cs="Tahoma"/>
          <w:b/>
        </w:rPr>
        <w:t>5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5B317F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B68DE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100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5B317F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Амортизационный лом образован в результате ремонтов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ликвидации оборудования РЦ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 Основная масса состоит из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крупногабаритных конструкций. Лом, частично не соответствует ГОСТу 2787, в части загрязнения технологическими остатками изоляции, монтажной пены, резины и футеровки, которые необходимо отделить и исключить из погрузки. </w:t>
            </w:r>
            <w:r w:rsidRPr="00960FA8">
              <w:rPr>
                <w:rFonts w:ascii="Tahoma" w:hAnsi="Tahoma" w:cs="Tahoma"/>
                <w:sz w:val="20"/>
                <w:szCs w:val="20"/>
              </w:rPr>
              <w:t xml:space="preserve">В местонахождении указанного лома может присутствовать металлолом других марок, который необходимо 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2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5B317F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РЦ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5B317F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317F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0E5571E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9B055-5224-46F2-A80F-FF2E8E98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