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FF63F2" w:rsidRDefault="008328F8" w:rsidP="00FF63F2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FF63F2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FF63F2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FF63F2" w:rsidRPr="00FF63F2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FF63F2" w:rsidRPr="00FF63F2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FF63F2" w:rsidRPr="00FF63F2">
              <w:rPr>
                <w:rFonts w:ascii="Tahoma" w:hAnsi="Tahoma" w:cs="Tahoma"/>
                <w:i w:val="0"/>
                <w:lang w:val="ru-RU"/>
              </w:rPr>
              <w:t>. 32АБ ГОСТ 2787-2024, в количестве 1000 тонн (</w:t>
            </w:r>
            <w:proofErr w:type="spellStart"/>
            <w:r w:rsidR="00FF63F2" w:rsidRPr="00FF63F2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F63F2" w:rsidRPr="00FF63F2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FF63F2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5F14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5F14">
              <w:rPr>
                <w:rFonts w:ascii="Tahoma" w:hAnsi="Tahoma" w:cs="Tahoma"/>
                <w:sz w:val="20"/>
                <w:szCs w:val="20"/>
              </w:rPr>
              <w:t>оборудования Плавильного цеха</w:t>
            </w:r>
            <w:r w:rsidRPr="00D65F14"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Pr="00D65F14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D65F14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D65F14">
              <w:rPr>
                <w:rFonts w:ascii="Tahoma" w:hAnsi="Tahoma" w:cs="Tahoma"/>
                <w:sz w:val="20"/>
                <w:szCs w:val="20"/>
              </w:rPr>
              <w:t xml:space="preserve">, арматуру, проволоку, канаты, различные фрагменты оборудования и др.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D65F14">
              <w:rPr>
                <w:rFonts w:ascii="Tahoma" w:hAnsi="Tahoma" w:cs="Tahoma"/>
                <w:sz w:val="20"/>
                <w:szCs w:val="20"/>
              </w:rPr>
              <w:t>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F63F2">
              <w:rPr>
                <w:rFonts w:ascii="Tahoma" w:hAnsi="Tahoma" w:cs="Tahoma"/>
                <w:b/>
                <w:sz w:val="20"/>
                <w:szCs w:val="20"/>
              </w:rPr>
              <w:t>05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FF63F2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040C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</w:t>
            </w:r>
            <w:r w:rsidRPr="00CA43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территория ПЦ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F63F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FF63F2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FF63F2" w:rsidRPr="005D7215" w:rsidRDefault="00FF63F2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r w:rsidR="00FF63F2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bookmarkStart w:id="2" w:name="_GoBack"/>
      <w:bookmarkEnd w:id="2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F63F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F63F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00FF63F2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09770B63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CB341C-8D6A-44E5-849C-666FE0DE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