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A54D76" w:rsidRDefault="008328F8" w:rsidP="00A54D76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A54D76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A54D76" w:rsidRPr="00A54D76">
              <w:rPr>
                <w:rFonts w:ascii="Tahoma" w:hAnsi="Tahoma" w:cs="Tahoma"/>
                <w:i w:val="0"/>
                <w:lang w:val="ru-RU"/>
              </w:rPr>
              <w:t xml:space="preserve">Лом кусковой А </w:t>
            </w:r>
            <w:r w:rsidR="00A54D76" w:rsidRPr="00A54D76">
              <w:rPr>
                <w:rFonts w:ascii="Tahoma" w:hAnsi="Tahoma" w:cs="Tahoma"/>
                <w:i w:val="0"/>
              </w:rPr>
              <w:t>XII</w:t>
            </w:r>
            <w:r w:rsidR="00A54D76" w:rsidRPr="00A54D76">
              <w:rPr>
                <w:rFonts w:ascii="Tahoma" w:hAnsi="Tahoma" w:cs="Tahoma"/>
                <w:i w:val="0"/>
                <w:lang w:val="ru-RU"/>
              </w:rPr>
              <w:t xml:space="preserve"> 1 ГОСТ Р 54564-2025, в количестве 2 тонн (</w:t>
            </w:r>
            <w:proofErr w:type="spellStart"/>
            <w:r w:rsidR="00A54D76" w:rsidRPr="00A54D76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A54D76" w:rsidRPr="00A54D76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A54D76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83473">
              <w:rPr>
                <w:rFonts w:ascii="Tahoma" w:hAnsi="Tahoma" w:cs="Tahoma"/>
                <w:sz w:val="20"/>
                <w:szCs w:val="20"/>
              </w:rPr>
              <w:t>Лом образован в результате производственной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3473">
              <w:rPr>
                <w:rFonts w:ascii="Tahoma" w:hAnsi="Tahoma" w:cs="Tahoma"/>
                <w:sz w:val="20"/>
                <w:szCs w:val="20"/>
              </w:rPr>
              <w:t xml:space="preserve">деятельности ЦЭО. </w:t>
            </w:r>
            <w:r w:rsidRPr="006D15F4">
              <w:rPr>
                <w:rFonts w:ascii="Tahoma" w:hAnsi="Tahoma" w:cs="Tahoma"/>
                <w:sz w:val="20"/>
                <w:szCs w:val="20"/>
              </w:rPr>
              <w:t xml:space="preserve">Лом не соответствует ГОСТу </w:t>
            </w:r>
            <w:r w:rsidRPr="00A44F02">
              <w:rPr>
                <w:rFonts w:ascii="Tahoma" w:hAnsi="Tahoma" w:cs="Tahoma"/>
                <w:sz w:val="20"/>
                <w:szCs w:val="20"/>
              </w:rPr>
              <w:t>54564-2025</w:t>
            </w:r>
            <w:r w:rsidRPr="006D15F4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в части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имеющихся примесей пыли.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Некоторая часть калориферных трубок не отделены от рамы. </w:t>
            </w:r>
            <w:r w:rsidRPr="006D15F4">
              <w:rPr>
                <w:rFonts w:ascii="Tahoma" w:hAnsi="Tahoma" w:cs="Tahoma"/>
                <w:sz w:val="20"/>
                <w:szCs w:val="20"/>
              </w:rPr>
              <w:t>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местонахождении указанного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может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присутствовать металлолом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других марок, который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исключить из погрузки. </w:t>
            </w:r>
            <w:r w:rsidRPr="006D15F4">
              <w:rPr>
                <w:rFonts w:ascii="Tahoma" w:hAnsi="Tahoma" w:cs="Tahoma"/>
                <w:sz w:val="20"/>
                <w:szCs w:val="20"/>
              </w:rPr>
              <w:t>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D15F4">
              <w:rPr>
                <w:rFonts w:ascii="Tahoma" w:hAnsi="Tahoma" w:cs="Tahoma"/>
                <w:sz w:val="20"/>
                <w:szCs w:val="20"/>
              </w:rPr>
              <w:t>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A54D76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A54D76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A54D76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</w:t>
            </w:r>
            <w:r w:rsidRPr="00480D9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F5CBD">
              <w:rPr>
                <w:rFonts w:ascii="Tahoma" w:hAnsi="Tahoma" w:cs="Tahoma"/>
                <w:sz w:val="20"/>
                <w:szCs w:val="20"/>
              </w:rPr>
              <w:t xml:space="preserve">площадка временного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ЦЭО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A54D76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A54D76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A54D7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A54D76" w:rsidRPr="00A54D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bookmarkStart w:id="2" w:name="_GoBack"/>
      <w:bookmarkEnd w:id="2"/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A54D7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A54D7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21BF112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348B8-262C-4F8B-88C6-F40BCC08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